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50D6E" w:rsidRPr="00950D6E" w:rsidTr="00950D6E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300" w:after="0" w:line="240" w:lineRule="auto"/>
              <w:ind w:left="450"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КАБІНЕТ МІНІСТРІВ УКРАЇНИ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950D6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uk-UA"/>
              </w:rPr>
              <w:t>ПОСТАНОВА</w:t>
            </w:r>
          </w:p>
        </w:tc>
      </w:tr>
      <w:tr w:rsidR="00950D6E" w:rsidRPr="00950D6E" w:rsidTr="00950D6E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ind w:left="450"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 4 червня 2025 р. № 658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Київ</w:t>
            </w:r>
          </w:p>
        </w:tc>
      </w:tr>
    </w:tbl>
    <w:p w:rsidR="00950D6E" w:rsidRPr="00950D6E" w:rsidRDefault="00950D6E" w:rsidP="00950D6E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0" w:name="n3"/>
      <w:bookmarkEnd w:id="0"/>
      <w:r w:rsidRPr="00950D6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Про затвердження Типової програми унеможливлення насильства та жорстокого поводження з дітьми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" w:name="n4"/>
      <w:bookmarkEnd w:id="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Відповідно до </w:t>
      </w:r>
      <w:hyperlink r:id="rId5" w:anchor="n108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шостої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10 Закону України “Про охорону дитинства” Кабінет Міністрів України </w:t>
      </w:r>
      <w:r w:rsidRPr="00950D6E">
        <w:rPr>
          <w:rFonts w:ascii="Times New Roman" w:eastAsia="Times New Roman" w:hAnsi="Times New Roman" w:cs="Times New Roman"/>
          <w:b/>
          <w:bCs/>
          <w:color w:val="333333"/>
          <w:spacing w:val="30"/>
          <w:sz w:val="24"/>
          <w:szCs w:val="24"/>
          <w:lang w:eastAsia="uk-UA"/>
        </w:rPr>
        <w:t>постановляє: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5"/>
      <w:bookmarkEnd w:id="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Затвердити </w:t>
      </w:r>
      <w:hyperlink r:id="rId6" w:anchor="n9" w:history="1">
        <w:r w:rsidRPr="00950D6E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Типову програму унеможливлення насильства та жорстокого поводження з дітьми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що додається.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6"/>
      <w:bookmarkEnd w:id="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2. Державній службі у справах дітей провести інформаційно-роз’яснювальну роботу серед суб’єктів, зазначених у </w:t>
      </w:r>
      <w:hyperlink r:id="rId7" w:anchor="n11" w:history="1">
        <w:r w:rsidRPr="00950D6E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пункті 2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Типової програми унеможливлення насильства та жорстокого поводження з дітьми, затвердженої цією постановою, про необхідність розроблення та затвердження документів, а також вжиття інших заходів, передбачених Типової програмою.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6752"/>
      </w:tblGrid>
      <w:tr w:rsidR="00950D6E" w:rsidRPr="00950D6E" w:rsidTr="00950D6E">
        <w:tc>
          <w:tcPr>
            <w:tcW w:w="1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7"/>
            <w:bookmarkEnd w:id="4"/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Прем'єр-міністр України</w:t>
            </w:r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Д. ШМИГАЛЬ</w:t>
            </w:r>
          </w:p>
        </w:tc>
      </w:tr>
      <w:tr w:rsidR="00950D6E" w:rsidRPr="00950D6E" w:rsidTr="00950D6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Інд. 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</w:tr>
    </w:tbl>
    <w:p w:rsidR="00950D6E" w:rsidRPr="00950D6E" w:rsidRDefault="00950D6E" w:rsidP="00950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50D6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8"/>
        <w:gridCol w:w="5787"/>
      </w:tblGrid>
      <w:tr w:rsidR="00950D6E" w:rsidRPr="00950D6E" w:rsidTr="00950D6E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n98"/>
            <w:bookmarkStart w:id="6" w:name="n8"/>
            <w:bookmarkEnd w:id="5"/>
            <w:bookmarkEnd w:id="6"/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ЗАТВЕРДЖЕНО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постановою Кабінету Міністрів України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950D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 4 червня 2025 р. № 658</w:t>
            </w:r>
          </w:p>
        </w:tc>
      </w:tr>
    </w:tbl>
    <w:p w:rsidR="00950D6E" w:rsidRPr="00950D6E" w:rsidRDefault="00950D6E" w:rsidP="00950D6E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" w:name="n9"/>
      <w:bookmarkEnd w:id="7"/>
      <w:r w:rsidRPr="00950D6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ТИПОВА ПРОГРАМА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950D6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унеможливлення насильства та жорстокого поводження з дітьми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" w:name="n10"/>
      <w:bookmarkEnd w:id="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Ця Типова програма унеможливлення насильства та жорстокого поводження з дітьми (далі - Типова програма) спрямована на забезпечення функціонування ефективної системи унеможливлення будь-якого виду насильства та жорстокого поводження з дітьми, створення у закладах освіти, культури, охорони здоров’я, соціального захисту, фізичної культури і спорту, оздоровлення та відпочинку, молодіжних центрах, дитячих та молодіжних громадських об’єднаннях, інших громадських об’єднаннях, що є суб’єктами молодіжної роботи, які контактують з дітьми (далі - суб’єкти роботи з дітьми та молоддю), середовища, вільного від насильства та жорстокого поводження з дитиною, запровадження системи інформування про випадки (або підозру на випадки) насильства та жорстокого поводження з дітьми у суб’єкті роботи з дітьми та молоддю, а також забезпечення оперативного їх розгляду та реагування на них.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9" w:name="n11"/>
      <w:bookmarkEnd w:id="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2. Типова програма є обов’язковою для суб’єктів роботи з дітьми та молоддю під час розроблення Положення про запобігання та протидію насильству та жорстокому поводженню з дітьми.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0" w:name="n12"/>
      <w:bookmarkEnd w:id="1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Працівники суб’єктів роботи з дітьми та молоддю повинні бути ознайомлені з Положенням про запобігання та протидію насильству та жорстокому поводженню з дітьми та інформацією про захист дітей від усіх форм насильства, зокрема домашнього насильства, експлуатації, </w:t>
      </w:r>
      <w:proofErr w:type="spellStart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булінгу</w:t>
      </w:r>
      <w:proofErr w:type="spellEnd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найгірших форм дитячої праці або інших проявів жорстокого поводження з дитиною.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1" w:name="n13"/>
      <w:bookmarkEnd w:id="1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3. У Типовій програмі терміни вживаються у значенні, наведеному в </w:t>
      </w:r>
      <w:hyperlink r:id="rId8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Сімейному кодексі України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Законах України </w:t>
      </w:r>
      <w:hyperlink r:id="rId9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“Про охорону дитинства”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0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“Про запобігання та протидію домашньому насильству”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інших нормативно-правових актах.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2" w:name="n14"/>
      <w:bookmarkEnd w:id="1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4. Завданнями Типової програми є: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3" w:name="n15"/>
      <w:bookmarkEnd w:id="1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запровадження порядку дій, спрямованих на унеможливлення насильства та жорстокого поводження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4" w:name="n16"/>
      <w:bookmarkEnd w:id="1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формування у працівників суб’єкта роботи з дітьми та молоддю відповідального ставлення до недопущення насильства та жорстокого поводження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5" w:name="n17"/>
      <w:bookmarkEnd w:id="1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поширення культури нульової толерантності до насильства та жорстокого поводження з дітьми у всіх сферах діяльності;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6" w:name="n18"/>
      <w:bookmarkEnd w:id="1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7" w:name="n19"/>
      <w:bookmarkEnd w:id="1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5. З метою унеможливлення насильства та жорстокого поводження з дітьми суб’єктом роботи з дітьми та молоддю повинно бути забезпечено впровадження таких основних заходів: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8" w:name="n20"/>
      <w:bookmarkEnd w:id="1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1) превентивні заходи: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9" w:name="n21"/>
      <w:bookmarkEnd w:id="1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затвердження Положення про запобігання та протидію насильству та жорстокому поводженню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0" w:name="n22"/>
      <w:bookmarkEnd w:id="2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затвердження </w:t>
      </w:r>
      <w:hyperlink r:id="rId11" w:anchor="n93" w:history="1">
        <w:r w:rsidRPr="00950D6E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форми первинного повідомлення про підозру на випадок насильства щодо дитини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згідно з додатком 1;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1" w:name="n23"/>
      <w:bookmarkEnd w:id="2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затвердження </w:t>
      </w:r>
      <w:hyperlink r:id="rId12" w:anchor="n95" w:history="1">
        <w:r w:rsidRPr="00950D6E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форми реєстрації внутрішнього інциденту (журналу безпеки)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згідно з додатком 2 або ведення обліку внутрішніх інцидентів (повідомлень про випадки насильства та жорстокого поводження з дитиною) в інший спосіб за рішенням суб’єкта роботи з дітьми та молоддю;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2" w:name="n24"/>
      <w:bookmarkEnd w:id="2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затвердження </w:t>
      </w:r>
      <w:hyperlink r:id="rId13" w:anchor="n97" w:history="1">
        <w:r w:rsidRPr="00950D6E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форми анкети анонімного опитування для дітей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згідно з додатком 3;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3" w:name="n25"/>
      <w:bookmarkEnd w:id="2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інформування дітей, батьків або інших законних представників дитини, працівників суб’єкта роботи з дітьми та молоддю з питань унеможливлення насильства та жорстокого поводження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4" w:name="n26"/>
      <w:bookmarkEnd w:id="2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проведення оцінювання ризиків насильства та жорстокого поводження з дітьми в діяльності суб’єкта роботи з дітьми та молоддю, вжиття заходів, необхідних для їх усунення або мінімізації;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5" w:name="n27"/>
      <w:bookmarkEnd w:id="2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врахування ризиків насильства та жорстокого поводження з дітьми під час прийому на роботу працівників суб’єктів роботи з дітьми та молоддю;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6" w:name="n28"/>
      <w:bookmarkEnd w:id="2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заходи із виявлення та реагування на випадки насильства та жорстокого поводження з дітьми: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7" w:name="n29"/>
      <w:bookmarkEnd w:id="2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організація доступних та безпечних способів повідомлення про випадки насильства та жорстокого поводження з дитиною;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8" w:name="n30"/>
      <w:bookmarkEnd w:id="2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оперативне реагування за результатами розгляду заяв (скарг, повідомлень) про випадки насильства або жорстокого поводження з дітьми у суб’єкті роботи з дітьми та молоддю (далі - повідомлення);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9" w:name="n31"/>
      <w:bookmarkEnd w:id="2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заходи з навчання та підвищення обізнаності унеможливлення насильства та жорстокого поводження з дітьми: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0" w:name="n32"/>
      <w:bookmarkEnd w:id="3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організація тренінгів, інших навчальних заходів для працівників суб’єкта роботи з дітьми та молоддю та інших фахівців, які контактують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1" w:name="n33"/>
      <w:bookmarkEnd w:id="3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організація інформаційних сесій для дітей (пояснення прав дитини, способів захисту, контактів для звернення);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2" w:name="n34"/>
      <w:bookmarkEnd w:id="3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залучення батьків, інших законних представників дитини (проведення батьківських зборів, розповсюдження інформаційних матеріалів);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3" w:name="n35"/>
      <w:bookmarkEnd w:id="3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4) заходи з моніторингу та оцінки виконання програми: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4" w:name="n36"/>
      <w:bookmarkEnd w:id="3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регулярні самоперевірки (оцінка ефективності заходів, виявлення проблемних аспектів);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5" w:name="n37"/>
      <w:bookmarkEnd w:id="3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збір інформації для зворотного зв’язку (анкетування дітей, батьків, персоналу);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6" w:name="n38"/>
      <w:bookmarkEnd w:id="3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аналіз інцидентів (вивчення випадків насильства для запобігання повторенню);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7" w:name="n39"/>
      <w:bookmarkEnd w:id="3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5) заходи з інформування (розміщення у доступних місцях для дітей та батьків, інших законних представників інформаційних матеріалів (плакатів, брошур із контактами служб допомоги, контактних номерів телефонів для анонімного звернення).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8" w:name="n40"/>
      <w:bookmarkEnd w:id="3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6. Керівник суб’єкта роботи з дітьми та молоддю: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9" w:name="n41"/>
      <w:bookmarkEnd w:id="3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затверджує Положення про запобігання та протидію насильству та жорстокому поводженню з дітьми з урахуванням Типової програми, є відповідальним за його реалізацію, забезпечує його оприлюднення, ознайомлення з ним своїх працівників та здійснює контроль за виконанням, в якому обов’язково визначаються суб’єкти виконання Типової програми (адміністрація, волонтери, працівники, інші залучені фахівці, які контактують із дітьми), до кого застосовується Типова програма, вимоги щодо політики найму працівників суб’єкта роботи з дітьми та молоддю, пов’язані із політикою запобігання насильству (перевірка кандидатів на наявність судимостей, рекомендації), вимоги щодо навчання персоналу (обов’язкові навчання з питань захисту прав дитини);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0" w:name="n42"/>
      <w:bookmarkEnd w:id="4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забезпечує здійснення заходів із ознайомлення працівників суб’єкта роботи з дітьми та молоддю, інших фахівців, які контактують із дітьми, із Положенням про запобігання та протидію насильству та жорстокому поводженню з дітьми до початку їх роботи з дітьми, але у строк, що не перевищує п’яти робочих днів із дня початку роботи суб’єкта роботи з дітьми та молоддю;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1" w:name="n43"/>
      <w:bookmarkEnd w:id="4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розглядає усні та письмові повідомлення протягом однієї доби з дня надходження, забезпечує функціонування механізму подання повідомлень;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2" w:name="n44"/>
      <w:bookmarkEnd w:id="4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невідкладно повідомляє уповноваженому підрозділу органу Національної поліції та службі у справах дітей у разі виявлення ознак насильства або жорстокого поводження з дитиною;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3" w:name="n45"/>
      <w:bookmarkEnd w:id="4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сприяє проходженню особами, які вчинили насильство або жорстоке поводження з дитиною, стали свідками або постраждали від насильства або жорстокого поводження, відповідної програми для таких осіб;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4" w:name="n46"/>
      <w:bookmarkEnd w:id="4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забезпечує проведення навчань, тренінгів, профілактичних заходів для дітей, батьків або інших законних представників дитини, працівників суб’єкта роботи з дітьми та молоддю з питань запобігання насильству та жорстокому поводженню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5" w:name="n47"/>
      <w:bookmarkEnd w:id="4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взаємодіє із службами у справах дітей, центрами соціальних служб, закладами освіти, охорони здоров’я та іншими уповноваженими органами для оперативного реагування на випадки насильства та жорстокого поводження з дітьми.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6" w:name="n48"/>
      <w:bookmarkEnd w:id="4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7. Працівники суб’єкта роботи з дітьми та молоддю у разі виявлення ознак насильства або жорстокого поводження з дитиною зобов’язані: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7" w:name="n49"/>
      <w:bookmarkEnd w:id="4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вжити невідкладних заходів для припинення насильства або жорстокого поводження з дитиною;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8" w:name="n50"/>
      <w:bookmarkEnd w:id="4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надати у разі потреби </w:t>
      </w:r>
      <w:proofErr w:type="spellStart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домедичну</w:t>
      </w:r>
      <w:proofErr w:type="spellEnd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допомогу, викликати бригаду екстреної (швидкої) медичної допомоги та звернутися до уповноваженого підрозділу органу Національної поліції;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9" w:name="n51"/>
      <w:bookmarkEnd w:id="4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повідомити керівнику суб’єкта роботи з дітьми та молоддю та одному з батьків або іншим законним представникам дитини, яка вчинила насильство або жорстоке поводження, та дитині, яка постраждала від насильства або жорстокого поводження, про виявлення ознак насильства або жорстокого поводження з дитиною.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0" w:name="n52"/>
      <w:bookmarkEnd w:id="5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8. Суб’єкт роботи з дітьми та молоддю повинен забезпечити функціонування механізму подання повідомлень, який передбачатиме: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1" w:name="n53"/>
      <w:bookmarkEnd w:id="5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інформування дітей та їх батьків або інших законних представників дитини, працівників суб’єкта роботи з дітьми та молоддю про їх обов’язок повідомити про випадки насильства та жорстокого поводження з дітьми з наданням інформації про шляхи інформування про такі випадки;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2" w:name="n54"/>
      <w:bookmarkEnd w:id="5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забезпечення функціонування різних способів отримання повідомлень про можливі випадки насильства (телефонний зв’язок, електронний лист, скринька для паперових повідомлень тощо), зокрема анонімно за бажанням особи, яка залишила повідомлення.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3" w:name="n55"/>
      <w:bookmarkEnd w:id="5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У разі потреби керівник суб’єкта роботи з дітьми та молоддю може визначати відповідальну особу для здійснення заходів щодо унеможливлення насильства та жорстокого поводження з дітьми, яка реєструватиме повідомлення, що надійшло, в журналі обліку (у паперовій та/або електронній формі) та забезпечуватиме його підготовку до розгляду.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4" w:name="n56"/>
      <w:bookmarkEnd w:id="5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Керівник суб’єкта роботи з дітьми та молоддю розглядає повідомлення протягом однієї доби з дня його надходження.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5" w:name="n57"/>
      <w:bookmarkEnd w:id="5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У разі виявлення ознак насильства або жорстокого поводження з дитиною керівник суб’єкта роботи з дітьми та молоддю невідкладно у строк, що не перевищує однієї доби, повідомляє про це батькам або іншим законним представникам дитини (крім випадків, коли батьки або інші законні представники дитини є кривдниками дитини), письмово повідомляє уповноваженому підрозділу органу Національної поліції та службі у справах дітей, а також вживає заходів відповідно до </w:t>
      </w:r>
      <w:hyperlink r:id="rId14" w:anchor="n13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затвердженого постановою Кабінету Міністрів України від 1 червня 2020 р. № 585 “Про забезпечення соціального захисту дітей, які перебувають у складних життєвих обставинах” (Офіційний вісник України, 2020 р., № 57, ст. 1779).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6" w:name="n58"/>
      <w:bookmarkEnd w:id="5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9. Відповідно до </w:t>
      </w:r>
      <w:hyperlink r:id="rId15" w:anchor="n97" w:tgtFrame="_blank" w:history="1">
        <w:r w:rsidRPr="00950D6E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статті 10</w:t>
        </w:r>
      </w:hyperlink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Закону України “Про охорону дитинства” забороняється працювати у контакті з дітьми особам, інформацію про яких внесено до Єдиного реєстру осіб, засуджених за злочини проти статевої свободи та статевої недоторканості малолітньої особи.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7" w:name="n59"/>
      <w:bookmarkEnd w:id="5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Під час працевлаштування осіб, які матимуть безпосередній або опосередкований контакт з дітьми, має бути проведене опитування, яке може включати запитання ситуаційного характеру щодо насильства або жорстокого поводження із дитиною, з метою виявлення можливої схильності особи до агресії, насильницької поведінки, жорстокого поводження.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8" w:name="n60"/>
      <w:bookmarkEnd w:id="5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10. Суб’єктом роботи з дітьми та молоддю повинні бути розроблені та/або поширені інформаційні матеріали з питань унеможливлення насильства та жорстокого поводження з дітьми шляхом: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9" w:name="n61"/>
      <w:bookmarkEnd w:id="5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розміщення на інформаційних стендах у приміщенні суб’єкта роботи з дітьми та молоддю, розповсюдження серед працівників, дітей, їх батьків або інших законних представників дитини у формі буклетів (листівок);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0" w:name="n62"/>
      <w:bookmarkEnd w:id="6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надсилання через батьківські, учнівські групи в </w:t>
      </w:r>
      <w:proofErr w:type="spellStart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месенджерах</w:t>
      </w:r>
      <w:proofErr w:type="spellEnd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розміщення на офіційному веб-сайті суб’єкта роботи з дітьми та молоддю та його сторінках у соціальних мережах;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1" w:name="n63"/>
      <w:bookmarkEnd w:id="6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проведення тематичних семінарів для батьків або інших законних представників дитини.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2" w:name="n64"/>
      <w:bookmarkEnd w:id="6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11. Суб’єкт роботи з дітьми та молоддю забезпечує інформування працівників з питань унеможливлення насильства та жорстокого поводження з дітьми (далі - інформування), що передбачає такі напрями (теми):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3" w:name="n65"/>
      <w:bookmarkEnd w:id="6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розпізнавання фізичного, психологічного, економічного та сексуального насильства;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4" w:name="n66"/>
      <w:bookmarkEnd w:id="6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методи профілактики </w:t>
      </w:r>
      <w:proofErr w:type="spellStart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булінгу</w:t>
      </w:r>
      <w:proofErr w:type="spellEnd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серед дітей;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5" w:name="n67"/>
      <w:bookmarkEnd w:id="6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використання ненасильницьких методів спілкування та управління конфліктами;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6" w:name="n68"/>
      <w:bookmarkEnd w:id="6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надання першої психологічної допомоги дітям, які постраждали від насильства та жорстокого поводження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7" w:name="n69"/>
      <w:bookmarkEnd w:id="6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порядок дій у разі виявлення випадків насильства або підозри щодо їх наявності;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8" w:name="n70"/>
      <w:bookmarkEnd w:id="6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дотримання правових норм щодо захисту дітей від насильства;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9" w:name="n71"/>
      <w:bookmarkEnd w:id="6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0" w:name="n72"/>
      <w:bookmarkEnd w:id="7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Інформування здійснюється шляхом: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1" w:name="n73"/>
      <w:bookmarkEnd w:id="7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проведення щорічних інформаційних кампаній, тематичних тижнів і конкурсів, приурочених питанням унеможливлення насильства та жорстокого поводження з дітьми;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2" w:name="n74"/>
      <w:bookmarkEnd w:id="7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інтерактивних тренінгів для дітей із розвитку емоційного інтелекту, толерантності та ненасильницького спілкування;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3" w:name="n75"/>
      <w:bookmarkEnd w:id="7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проведення ігор та рольових прав, які моделюють реальні ситуації та допомагають дітям дізнатися про способи захисту порушених прав;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4" w:name="n76"/>
      <w:bookmarkEnd w:id="7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впровадження занять за типом діяльності суб’єкта роботи з дітьми та молоддю з питань безпечної поведінки, прав дитини та медіації;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5" w:name="n77"/>
      <w:bookmarkEnd w:id="7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співпраці з психологами та соціальними працівниками для проведення групових та індивідуальних занять щодо запобігання насильству;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6" w:name="n78"/>
      <w:bookmarkEnd w:id="7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організації зустрічей із фахівцями, які можуть поділитися досвідом і порадами щодо запобігання насильству (працівники уповноваженого підрозділу органу Національної поліції, юристи, соціальні працівники);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7" w:name="n79"/>
      <w:bookmarkEnd w:id="7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використання мультимедійних матеріалів (відеороликів, презентацій, інтерактивних платформ) для інформування дітей у цікавій та доступній формі щодо неприпустимості 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насильства та жорстокого поводження, ознайомлення з ознаками та формами насильства та жорстокого поводження, порад щодо запобігання насильству в дитячому середовищі, процедури повідомлення про насильство та жорстоке поводження, передбаченої суб’єктом роботи з дітьми та молоддю, алгоритму дій у разі виявлення насильства, способів та механізмів отримання допомоги, можливих наслідків для особи, яка вчинила насильство або жорстоке поводження.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8" w:name="n80"/>
      <w:bookmarkEnd w:id="7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Для проведення інформування дітей, батьків або інших законних представників дітей, працівників суб’єкта роботи з дітьми та молоддю можуть залучатися експерти, фахівці, зокрема представники органів місцевого самоврядування, структурних підрозділів місцевих державних адміністрацій, служб у справах дітей, уповноважених підрозділів органів Національної поліції, надавачів соціальних послуг, закладів вищої освіти, а також психологи, соціальні педагоги, фахівці в галузі права, представники громадських об’єднань, іноземних неурядових організацій.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9" w:name="n81"/>
      <w:bookmarkEnd w:id="7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12. З метою унеможливлення насильства або жорстокого поводження з дітьми керівник суб’єкта роботи з дітьми та молоддю забезпечує виявлення поведінки дітей, працівників суб’єкта роботи з дітьми та молоддю, яка потенційно може призводити до насильства та жорстокого поводження.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0" w:name="n82"/>
      <w:bookmarkEnd w:id="8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Недопустимою вважається поведінка, що може призводити до порушення права дитини на повагу до її особистості, гідне ставлення.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1" w:name="n83"/>
      <w:bookmarkEnd w:id="81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Індикаторами, які можуть вказувати на потенційні ризики спричинення насильства та жорстокого поводження з дітьми, є використання тону голосу, який може сприйматися як залякування або образа, використання принизливих коментарів стосовно дітей та в присутності дітей, застосування покарань до дитини, а також інші індикатори.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2" w:name="n84"/>
      <w:bookmarkEnd w:id="82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13. З метою унеможливлення ризиків насильства та жорстокого поводження з дитиною працівники суб’єкта роботи з дітьми та молоддю повинні не допускати фізичного контакту з дитиною, якщо він не є необхідним відповідно до змісту заходів або видів діяльності з дитиною.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3" w:name="n85"/>
      <w:bookmarkEnd w:id="83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У разі коли передбачається фізичний контакт з дитиною, який є необхідним відповідно до змісту заходів з дитиною, такий контакт проводиться у присутності не менше однієї повнолітньої особи, крім виконавця, або в приміщенні, що забезпечує можливість вільного доступу інших осіб та не має перешкод для самостійного виходу дитини.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4" w:name="n86"/>
      <w:bookmarkEnd w:id="84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14. Унеможливлення насильства та жорстокого поводження включає регулярне оцінювання ризиків, пов’язаних з насильством та жорстоким поводженням з дітьми, вжиття заходів, необхідних для їх усунення або мінімізації, із забезпеченням подальшого моніторингу та контролю, а також перегляд запроваджених заходів з унеможливлення насильства та жорстокого поводження з дітьми.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5" w:name="n87"/>
      <w:bookmarkEnd w:id="85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Якщо за результатами розгляду повідомлення: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6" w:name="n88"/>
      <w:bookmarkEnd w:id="86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виявлено ознаки насильства та жорстокого поводження з дитиною, суб’єкт роботи з дітьми та молоддю аналізує причини та умови, які могли сприяти або стати підставою для порушення прав дитини;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7" w:name="n89"/>
      <w:bookmarkEnd w:id="87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не виявлено ознак насильства та жорстокого поводження з дитиною, інформація, викладена в повідомленні,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8" w:name="n90"/>
      <w:bookmarkEnd w:id="88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Діяльність щодо виявлення та аналізу ризиків провадиться суб’єктом роботи з дітьми та молоддю із залученням сторін, зокрема дітей.</w:t>
      </w:r>
    </w:p>
    <w:p w:rsidR="00950D6E" w:rsidRPr="00950D6E" w:rsidRDefault="00950D6E" w:rsidP="00950D6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9" w:name="n91"/>
      <w:bookmarkEnd w:id="89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15. Про невиконання, неналежне виконання суб’єктом роботи з дітьми та молоддю повноважень щодо запобігання насильству та жорстокому поводженню з дітьми може бути 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повідомлено уповноваженій особі (координатору) в органах виконавчої влади та органах місцевого самоврядування, на яких покладено функції щодо забезпечення рівності прав та можливостей жінок і чоловіків, запобігання та протидії насильству за ознакою статі.</w:t>
      </w:r>
    </w:p>
    <w:p w:rsidR="00950D6E" w:rsidRPr="00950D6E" w:rsidRDefault="00950D6E" w:rsidP="00950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50D6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6" style="width:0;height:0" o:hrstd="t" o:hrnoshade="t" o:hr="t" fillcolor="black" stroked="f"/>
        </w:pict>
      </w:r>
    </w:p>
    <w:p w:rsidR="00950D6E" w:rsidRPr="00950D6E" w:rsidRDefault="00950D6E" w:rsidP="00950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90" w:name="n99"/>
      <w:bookmarkEnd w:id="90"/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7"/>
        <w:gridCol w:w="5158"/>
      </w:tblGrid>
      <w:tr w:rsidR="00950D6E" w:rsidRPr="00950D6E" w:rsidTr="00950D6E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1" w:name="n92"/>
            <w:bookmarkEnd w:id="91"/>
          </w:p>
        </w:tc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1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Типової програми</w:t>
            </w:r>
          </w:p>
        </w:tc>
      </w:tr>
    </w:tbl>
    <w:bookmarkStart w:id="92" w:name="n93"/>
    <w:bookmarkEnd w:id="92"/>
    <w:p w:rsidR="00950D6E" w:rsidRPr="00950D6E" w:rsidRDefault="00950D6E" w:rsidP="00950D6E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begin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instrText xml:space="preserve"> HYPERLINK "https://zakon.rada.gov.ua/laws/file/text/126/f545640n100.docx" </w:instrTex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separate"/>
      </w:r>
      <w:r w:rsidRPr="00950D6E">
        <w:rPr>
          <w:rFonts w:ascii="Times New Roman" w:eastAsia="Times New Roman" w:hAnsi="Times New Roman" w:cs="Times New Roman"/>
          <w:b/>
          <w:bCs/>
          <w:color w:val="C00909"/>
          <w:sz w:val="28"/>
          <w:szCs w:val="28"/>
          <w:u w:val="single"/>
          <w:lang w:eastAsia="uk-UA"/>
        </w:rPr>
        <w:t>ТИПОВА ФОРМА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end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950D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первинного повідомлення про підозру на випадок насильства щодо дитини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7"/>
        <w:gridCol w:w="5158"/>
      </w:tblGrid>
      <w:tr w:rsidR="00950D6E" w:rsidRPr="00950D6E" w:rsidTr="00950D6E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3" w:name="n94"/>
            <w:bookmarkEnd w:id="93"/>
          </w:p>
        </w:tc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2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Типової програми</w:t>
            </w:r>
          </w:p>
        </w:tc>
      </w:tr>
    </w:tbl>
    <w:bookmarkStart w:id="94" w:name="n95"/>
    <w:bookmarkEnd w:id="94"/>
    <w:p w:rsidR="00950D6E" w:rsidRPr="00950D6E" w:rsidRDefault="00950D6E" w:rsidP="00950D6E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begin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instrText xml:space="preserve"> HYPERLINK "https://zakon.rada.gov.ua/laws/file/text/126/f545640n101.docx" </w:instrTex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separate"/>
      </w:r>
      <w:r w:rsidRPr="00950D6E">
        <w:rPr>
          <w:rFonts w:ascii="Times New Roman" w:eastAsia="Times New Roman" w:hAnsi="Times New Roman" w:cs="Times New Roman"/>
          <w:b/>
          <w:bCs/>
          <w:color w:val="C00909"/>
          <w:sz w:val="28"/>
          <w:szCs w:val="28"/>
          <w:u w:val="single"/>
          <w:lang w:eastAsia="uk-UA"/>
        </w:rPr>
        <w:t>ТИПОВА ФОРМА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end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950D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реєстрації внутрішнього інциденту (журналу безпеки)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7"/>
        <w:gridCol w:w="5158"/>
      </w:tblGrid>
      <w:tr w:rsidR="00950D6E" w:rsidRPr="00950D6E" w:rsidTr="00950D6E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95" w:name="n96"/>
            <w:bookmarkEnd w:id="95"/>
          </w:p>
        </w:tc>
        <w:tc>
          <w:tcPr>
            <w:tcW w:w="23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50D6E" w:rsidRPr="00950D6E" w:rsidRDefault="00950D6E" w:rsidP="00950D6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3</w:t>
            </w:r>
            <w:r w:rsidRPr="00950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Типової програми</w:t>
            </w:r>
          </w:p>
        </w:tc>
      </w:tr>
    </w:tbl>
    <w:bookmarkStart w:id="96" w:name="n97"/>
    <w:bookmarkEnd w:id="96"/>
    <w:p w:rsidR="00950D6E" w:rsidRPr="00950D6E" w:rsidRDefault="00950D6E" w:rsidP="00950D6E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begin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instrText xml:space="preserve"> HYPERLINK "https://zakon.rada.gov.ua/laws/file/text/126/f545640n102.docx" </w:instrTex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separate"/>
      </w:r>
      <w:r w:rsidRPr="00950D6E">
        <w:rPr>
          <w:rFonts w:ascii="Times New Roman" w:eastAsia="Times New Roman" w:hAnsi="Times New Roman" w:cs="Times New Roman"/>
          <w:b/>
          <w:bCs/>
          <w:color w:val="C00909"/>
          <w:sz w:val="28"/>
          <w:szCs w:val="28"/>
          <w:u w:val="single"/>
          <w:lang w:eastAsia="uk-UA"/>
        </w:rPr>
        <w:t>ТИПОВА АНКЕТА</w:t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fldChar w:fldCharType="end"/>
      </w:r>
      <w:r w:rsidRPr="00950D6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950D6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анонімного опитування для дітей</w:t>
      </w:r>
    </w:p>
    <w:p w:rsidR="005D08CA" w:rsidRDefault="005D08CA">
      <w:bookmarkStart w:id="97" w:name="_GoBack"/>
      <w:bookmarkEnd w:id="97"/>
    </w:p>
    <w:sectPr w:rsidR="005D08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6E"/>
    <w:rsid w:val="005D08CA"/>
    <w:rsid w:val="0095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7">
    <w:name w:val="rvps17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50D6E"/>
  </w:style>
  <w:style w:type="character" w:customStyle="1" w:styleId="rvts64">
    <w:name w:val="rvts64"/>
    <w:basedOn w:val="a0"/>
    <w:rsid w:val="00950D6E"/>
  </w:style>
  <w:style w:type="paragraph" w:customStyle="1" w:styleId="rvps7">
    <w:name w:val="rvps7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50D6E"/>
  </w:style>
  <w:style w:type="paragraph" w:customStyle="1" w:styleId="rvps6">
    <w:name w:val="rvps6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950D6E"/>
    <w:rPr>
      <w:color w:val="0000FF"/>
      <w:u w:val="single"/>
    </w:rPr>
  </w:style>
  <w:style w:type="character" w:customStyle="1" w:styleId="rvts52">
    <w:name w:val="rvts52"/>
    <w:basedOn w:val="a0"/>
    <w:rsid w:val="00950D6E"/>
  </w:style>
  <w:style w:type="paragraph" w:customStyle="1" w:styleId="rvps4">
    <w:name w:val="rvps4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950D6E"/>
  </w:style>
  <w:style w:type="paragraph" w:customStyle="1" w:styleId="rvps15">
    <w:name w:val="rvps15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950D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7">
    <w:name w:val="rvps17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50D6E"/>
  </w:style>
  <w:style w:type="character" w:customStyle="1" w:styleId="rvts64">
    <w:name w:val="rvts64"/>
    <w:basedOn w:val="a0"/>
    <w:rsid w:val="00950D6E"/>
  </w:style>
  <w:style w:type="paragraph" w:customStyle="1" w:styleId="rvps7">
    <w:name w:val="rvps7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50D6E"/>
  </w:style>
  <w:style w:type="paragraph" w:customStyle="1" w:styleId="rvps6">
    <w:name w:val="rvps6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950D6E"/>
    <w:rPr>
      <w:color w:val="0000FF"/>
      <w:u w:val="single"/>
    </w:rPr>
  </w:style>
  <w:style w:type="character" w:customStyle="1" w:styleId="rvts52">
    <w:name w:val="rvts52"/>
    <w:basedOn w:val="a0"/>
    <w:rsid w:val="00950D6E"/>
  </w:style>
  <w:style w:type="paragraph" w:customStyle="1" w:styleId="rvps4">
    <w:name w:val="rvps4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950D6E"/>
  </w:style>
  <w:style w:type="paragraph" w:customStyle="1" w:styleId="rvps15">
    <w:name w:val="rvps15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950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950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433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16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5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73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7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947-14" TargetMode="External"/><Relationship Id="rId13" Type="http://schemas.openxmlformats.org/officeDocument/2006/relationships/hyperlink" Target="https://zakon.rada.gov.ua/laws/show/658-2025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658-2025-%D0%BF" TargetMode="External"/><Relationship Id="rId12" Type="http://schemas.openxmlformats.org/officeDocument/2006/relationships/hyperlink" Target="https://zakon.rada.gov.ua/laws/show/658-2025-%D0%B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658-2025-%D0%BF" TargetMode="External"/><Relationship Id="rId11" Type="http://schemas.openxmlformats.org/officeDocument/2006/relationships/hyperlink" Target="https://zakon.rada.gov.ua/laws/show/658-2025-%D0%BF" TargetMode="External"/><Relationship Id="rId5" Type="http://schemas.openxmlformats.org/officeDocument/2006/relationships/hyperlink" Target="https://zakon.rada.gov.ua/laws/show/2402-14" TargetMode="External"/><Relationship Id="rId15" Type="http://schemas.openxmlformats.org/officeDocument/2006/relationships/hyperlink" Target="https://zakon.rada.gov.ua/laws/show/2402-14" TargetMode="External"/><Relationship Id="rId10" Type="http://schemas.openxmlformats.org/officeDocument/2006/relationships/hyperlink" Target="https://zakon.rada.gov.ua/laws/show/2229-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402-14" TargetMode="External"/><Relationship Id="rId14" Type="http://schemas.openxmlformats.org/officeDocument/2006/relationships/hyperlink" Target="https://zakon.rada.gov.ua/laws/show/585-2020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11980</Words>
  <Characters>6830</Characters>
  <Application>Microsoft Office Word</Application>
  <DocSecurity>0</DocSecurity>
  <Lines>56</Lines>
  <Paragraphs>37</Paragraphs>
  <ScaleCrop>false</ScaleCrop>
  <Company/>
  <LinksUpToDate>false</LinksUpToDate>
  <CharactersWithSpaces>18773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2026-09-06T11:59:00Z</dcterms:created>
  <dcterms:modified xsi:type="dcterms:W3CDTF">2026-09-06T12:00:00Z</dcterms:modified>
</cp:coreProperties>
</file>